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EDITAL 08/2021/PROEX/IFG </w:t>
      </w:r>
    </w:p>
    <w:p w14:paraId="4083C83F" w14:textId="77777777" w:rsidR="00CD2F93" w:rsidRDefault="00CD2F93">
      <w:pPr>
        <w:pStyle w:val="Ttulo1"/>
        <w:keepNext w:val="0"/>
        <w:keepLines w:val="0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1AA5FD4B" w:rsidR="0032283F" w:rsidRDefault="00360C17" w:rsidP="00CD2F93">
      <w:pPr>
        <w:pStyle w:val="Ttulo1"/>
        <w:keepNext w:val="0"/>
        <w:keepLines w:val="0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MANUAL DE UTILIZAÇÃO DE RECURSOS FINANCEIROS E PRESTAÇÃO DE CONTAS</w:t>
      </w:r>
    </w:p>
    <w:p w14:paraId="00000003" w14:textId="3D481413" w:rsidR="0032283F" w:rsidRDefault="0032283F">
      <w:pPr>
        <w:pStyle w:val="Ttulo2"/>
        <w:keepNext w:val="0"/>
        <w:keepLines w:val="0"/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36E5F6" w14:textId="77777777" w:rsidR="00CD2F93" w:rsidRPr="00CD2F93" w:rsidRDefault="00CD2F93" w:rsidP="00CD2F93"/>
    <w:p w14:paraId="00000004" w14:textId="77777777" w:rsidR="0032283F" w:rsidRDefault="00360C17">
      <w:pPr>
        <w:pStyle w:val="Ttulo2"/>
        <w:keepNext w:val="0"/>
        <w:keepLines w:val="0"/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DISPOSIÇÕES INICIAIS</w:t>
      </w:r>
    </w:p>
    <w:p w14:paraId="00000005" w14:textId="77777777" w:rsidR="0032283F" w:rsidRDefault="0032283F"/>
    <w:p w14:paraId="00000006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 </w:t>
      </w:r>
      <w:r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BENEFICIÁRIO de apoio financeiro concedido pelo IFG está obrigado a prestar contas, conforme previsto no parágrafo único do artigo 70 da Constituição da República Federativa do Brasil, nos Decreto-Lei nº 200/67 e Decreto nº 93.872/86, e Instrução Norm</w:t>
      </w:r>
      <w:r>
        <w:rPr>
          <w:rFonts w:ascii="Times New Roman" w:eastAsia="Times New Roman" w:hAnsi="Times New Roman" w:cs="Times New Roman"/>
          <w:sz w:val="24"/>
          <w:szCs w:val="24"/>
        </w:rPr>
        <w:t>ativa nº 01/97 STN/MF.</w:t>
      </w:r>
    </w:p>
    <w:p w14:paraId="00000007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1.2 </w:t>
      </w:r>
      <w:r>
        <w:rPr>
          <w:rFonts w:ascii="Times New Roman" w:eastAsia="Times New Roman" w:hAnsi="Times New Roman" w:cs="Times New Roman"/>
          <w:sz w:val="24"/>
          <w:szCs w:val="24"/>
        </w:rPr>
        <w:t>A prestação de contas deverá ser enviada à GEPEX, por meio de formulário específico até 60 (sessenta) dias, após o vencimento do prazo previsto para a utilização dos recursos.</w:t>
      </w:r>
    </w:p>
    <w:p w14:paraId="00000008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1.3 </w:t>
      </w:r>
      <w:r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fins de prestação de contas em relação ao Ap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oio Financeiro para a Ação de Extensão, deverão ser anexados ao processo os comprovantes da utilização dos recursos e os </w:t>
      </w:r>
      <w:r>
        <w:rPr>
          <w:rFonts w:ascii="Times New Roman" w:eastAsia="Times New Roman" w:hAnsi="Times New Roman" w:cs="Times New Roman"/>
          <w:sz w:val="24"/>
          <w:szCs w:val="24"/>
        </w:rPr>
        <w:t>comprovantes dos pagamentos efetuados</w:t>
      </w:r>
      <w:r>
        <w:rPr>
          <w:rFonts w:ascii="Times New Roman" w:eastAsia="Times New Roman" w:hAnsi="Times New Roman" w:cs="Times New Roman"/>
          <w:sz w:val="24"/>
          <w:szCs w:val="24"/>
        </w:rPr>
        <w:t>, no mesmo prazo definido no item anterior.</w:t>
      </w:r>
    </w:p>
    <w:p w14:paraId="00000009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1.3.1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mesmo procedimento se aplica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todas as formas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utilização dos recursos disponibilizados via auxílio financeiro ao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extensionista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A" w14:textId="77777777" w:rsidR="0032283F" w:rsidRDefault="0032283F">
      <w:pPr>
        <w:pStyle w:val="Ttulo2"/>
        <w:keepNext w:val="0"/>
        <w:keepLines w:val="0"/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B" w14:textId="77777777" w:rsidR="0032283F" w:rsidRDefault="00360C17">
      <w:pPr>
        <w:pStyle w:val="Ttulo2"/>
        <w:keepNext w:val="0"/>
        <w:keepLines w:val="0"/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 CONCESSÃO DE RECURSOS</w:t>
      </w:r>
    </w:p>
    <w:p w14:paraId="0000000C" w14:textId="77777777" w:rsidR="0032283F" w:rsidRDefault="003228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São condições básicas para </w:t>
      </w:r>
      <w:r>
        <w:rPr>
          <w:rFonts w:ascii="Times New Roman" w:eastAsia="Times New Roman" w:hAnsi="Times New Roman" w:cs="Times New Roman"/>
          <w:sz w:val="24"/>
          <w:szCs w:val="24"/>
        </w:rPr>
        <w:t>concessão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 recursos:</w:t>
      </w:r>
    </w:p>
    <w:p w14:paraId="0000000E" w14:textId="77777777" w:rsidR="0032283F" w:rsidRDefault="00360C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O BENEFICIÁRIO não ter qualquer pendência de prestação de contas em seu nome no IFG e estar em situação de regularidade no "Sistema de Administração Financeira - SIAFI" e no "Cadastro Informativo de Créditos Não Quitados do Setor Público Federal - CADIN";</w:t>
      </w:r>
    </w:p>
    <w:p w14:paraId="0000000F" w14:textId="77777777" w:rsidR="0032283F" w:rsidRDefault="00360C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IFG ter recebido e concordado com o Termo de Concessão e Aceitação de Apoio Financeiro de acordo com os procedimentos estabelecidos; </w:t>
      </w:r>
    </w:p>
    <w:p w14:paraId="00000010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Quando o Termo de Concessão e Aceitação de Apoio Financeiro estabelecer que as liberações ocorrerão em mais de duas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parcelas, a liberação da terceira ficará condicionada a apresentação da prestação de contas do valor da primeira parcela, e assim sucessivamente. </w:t>
      </w:r>
    </w:p>
    <w:p w14:paraId="00000011" w14:textId="0220C5AB" w:rsidR="0032283F" w:rsidRDefault="0032283F">
      <w:pPr>
        <w:pStyle w:val="Ttulo2"/>
        <w:keepNext w:val="0"/>
        <w:keepLines w:val="0"/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BE68C" w14:textId="00D84FE6" w:rsidR="00CD2F93" w:rsidRDefault="00CD2F93" w:rsidP="00CD2F93"/>
    <w:p w14:paraId="057DD62B" w14:textId="478DD829" w:rsidR="00CD2F93" w:rsidRDefault="00CD2F93" w:rsidP="00CD2F93"/>
    <w:p w14:paraId="27AA6622" w14:textId="77777777" w:rsidR="00CD2F93" w:rsidRPr="00CD2F93" w:rsidRDefault="00CD2F93" w:rsidP="00CD2F93">
      <w:bookmarkStart w:id="0" w:name="_GoBack"/>
      <w:bookmarkEnd w:id="0"/>
    </w:p>
    <w:p w14:paraId="00000012" w14:textId="77777777" w:rsidR="0032283F" w:rsidRDefault="00360C17">
      <w:pPr>
        <w:pStyle w:val="Ttulo2"/>
        <w:keepNext w:val="0"/>
        <w:keepLines w:val="0"/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 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UTILIZAÇÃO DOS RECURSOS</w:t>
      </w:r>
    </w:p>
    <w:p w14:paraId="00000013" w14:textId="77777777" w:rsidR="0032283F" w:rsidRDefault="003228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4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3.1 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recursos concedidos a pessoas físicas devem ser utilizados dentro do p</w:t>
      </w:r>
      <w:r>
        <w:rPr>
          <w:rFonts w:ascii="Times New Roman" w:eastAsia="Times New Roman" w:hAnsi="Times New Roman" w:cs="Times New Roman"/>
          <w:sz w:val="24"/>
          <w:szCs w:val="24"/>
        </w:rPr>
        <w:t>razo de vigência do benefício e de acordo com as regras contidas no Edital 08/2021/PROEX/IFG, no Termo de Concessão e neste Manual.</w:t>
      </w:r>
    </w:p>
    <w:p w14:paraId="00000015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3.1.1 </w:t>
      </w:r>
      <w:r>
        <w:rPr>
          <w:rFonts w:ascii="Times New Roman" w:eastAsia="Times New Roman" w:hAnsi="Times New Roman" w:cs="Times New Roman"/>
          <w:sz w:val="24"/>
          <w:szCs w:val="24"/>
        </w:rPr>
        <w:t>Caso se verifique a necessidade de prorrogar o período de vigência, o BENEFICIÁRIO deverá encaminhar solicitação justi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ficada à </w:t>
      </w:r>
      <w:r>
        <w:rPr>
          <w:rFonts w:ascii="Times New Roman" w:eastAsia="Times New Roman" w:hAnsi="Times New Roman" w:cs="Times New Roman"/>
          <w:sz w:val="24"/>
          <w:szCs w:val="24"/>
        </w:rPr>
        <w:t>PROEX, com anuência da GEPEX</w:t>
      </w:r>
      <w:r>
        <w:rPr>
          <w:rFonts w:ascii="Times New Roman" w:eastAsia="Times New Roman" w:hAnsi="Times New Roman" w:cs="Times New Roman"/>
          <w:sz w:val="24"/>
          <w:szCs w:val="24"/>
        </w:rPr>
        <w:t>, com antecedência mínima de 30 (trinta) dias da data de término da vigência.</w:t>
      </w:r>
    </w:p>
    <w:p w14:paraId="00000016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3.2 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caso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pagamento de custeio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e/ou remuneração de serviços executados por pessoa física, deverá ser emitido recibo correspondente, e ob</w:t>
      </w:r>
      <w:r>
        <w:rPr>
          <w:rFonts w:ascii="Times New Roman" w:eastAsia="Times New Roman" w:hAnsi="Times New Roman" w:cs="Times New Roman"/>
          <w:sz w:val="24"/>
          <w:szCs w:val="24"/>
        </w:rPr>
        <w:t>serva</w:t>
      </w:r>
      <w:r>
        <w:rPr>
          <w:rFonts w:ascii="Times New Roman" w:eastAsia="Times New Roman" w:hAnsi="Times New Roman" w:cs="Times New Roman"/>
          <w:sz w:val="24"/>
          <w:szCs w:val="24"/>
        </w:rPr>
        <w:t>dos os requisitos legais para realização das contratações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7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caso de pagamento à pessoa jurídica, por serviços prestados ou aquisição de materiais e equipamentos, o comprovante de pagamento (nota fiscal/fatura) deverá ser emitido em nome do BENEFICIÁRIO contendo, obrigatoriamente, data de emissão, descrição detal</w:t>
      </w:r>
      <w:r>
        <w:rPr>
          <w:rFonts w:ascii="Times New Roman" w:eastAsia="Times New Roman" w:hAnsi="Times New Roman" w:cs="Times New Roman"/>
          <w:sz w:val="24"/>
          <w:szCs w:val="24"/>
        </w:rPr>
        <w:t>hada do material adquirido ou do serviço prestado, bem como a quitação.</w:t>
      </w:r>
    </w:p>
    <w:p w14:paraId="00000018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licitação é dispensável na aquisição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insumos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 na contratação de serviços destinados ao desenvolvimento da ação de extensão, </w:t>
      </w:r>
      <w:r>
        <w:rPr>
          <w:rFonts w:ascii="Times New Roman" w:eastAsia="Times New Roman" w:hAnsi="Times New Roman" w:cs="Times New Roman"/>
          <w:sz w:val="24"/>
          <w:szCs w:val="24"/>
        </w:rPr>
        <w:t>mediante a realização de pesquisa de preço sem de</w:t>
      </w:r>
      <w:r>
        <w:rPr>
          <w:rFonts w:ascii="Times New Roman" w:eastAsia="Times New Roman" w:hAnsi="Times New Roman" w:cs="Times New Roman"/>
          <w:sz w:val="24"/>
          <w:szCs w:val="24"/>
        </w:rPr>
        <w:t>ixar de considerar, igualmente, os aspectos de qualidade e de rendimento que possam comprometer os resultados, possibilitando assim o melhor aproveitamento dos recursos públicos.</w:t>
      </w:r>
    </w:p>
    <w:p w14:paraId="00000019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3.5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realização da pesquisa de preços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BENEFICIÁRIO deverá observar </w:t>
      </w:r>
      <w:r>
        <w:rPr>
          <w:rFonts w:ascii="Times New Roman" w:eastAsia="Times New Roman" w:hAnsi="Times New Roman" w:cs="Times New Roman"/>
          <w:sz w:val="24"/>
          <w:szCs w:val="24"/>
        </w:rPr>
        <w:t>o di</w:t>
      </w:r>
      <w:r>
        <w:rPr>
          <w:rFonts w:ascii="Times New Roman" w:eastAsia="Times New Roman" w:hAnsi="Times New Roman" w:cs="Times New Roman"/>
          <w:sz w:val="24"/>
          <w:szCs w:val="24"/>
        </w:rPr>
        <w:t>sposto na Instrução Normativa nº 65/2021/MINISTÉRIO DA ECONOMIA, que trata dos procedimentos administrativos para a realização de pesquisa de preços para a aquisição de bens e contratação de serviços em geral, no âmbito da administração pública federal dir</w:t>
      </w:r>
      <w:r>
        <w:rPr>
          <w:rFonts w:ascii="Times New Roman" w:eastAsia="Times New Roman" w:hAnsi="Times New Roman" w:cs="Times New Roman"/>
          <w:sz w:val="24"/>
          <w:szCs w:val="24"/>
        </w:rPr>
        <w:t>eta, autárquica e fundacional.</w:t>
      </w:r>
    </w:p>
    <w:p w14:paraId="0000001A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comprovantes de despesa deverão ser organizados crono</w:t>
      </w:r>
      <w:r>
        <w:rPr>
          <w:rFonts w:ascii="Times New Roman" w:eastAsia="Times New Roman" w:hAnsi="Times New Roman" w:cs="Times New Roman"/>
          <w:sz w:val="24"/>
          <w:szCs w:val="24"/>
        </w:rPr>
        <w:t>logicamente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apresentados conforme o </w:t>
      </w:r>
      <w:r>
        <w:rPr>
          <w:rFonts w:ascii="Times New Roman" w:eastAsia="Times New Roman" w:hAnsi="Times New Roman" w:cs="Times New Roman"/>
          <w:sz w:val="24"/>
          <w:szCs w:val="24"/>
        </w:rPr>
        <w:t>documento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original, sempre acompanhados de nota fiscal e/ou </w:t>
      </w:r>
      <w:r>
        <w:rPr>
          <w:rFonts w:ascii="Times New Roman" w:eastAsia="Times New Roman" w:hAnsi="Times New Roman" w:cs="Times New Roman"/>
          <w:sz w:val="24"/>
          <w:szCs w:val="24"/>
        </w:rPr>
        <w:t>recibos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pagamento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B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sz w:val="24"/>
          <w:szCs w:val="24"/>
        </w:rPr>
        <w:t>Não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serão aceitos comprovantes que con</w:t>
      </w:r>
      <w:r>
        <w:rPr>
          <w:rFonts w:ascii="Times New Roman" w:eastAsia="Times New Roman" w:hAnsi="Times New Roman" w:cs="Times New Roman"/>
          <w:sz w:val="24"/>
          <w:szCs w:val="24"/>
        </w:rPr>
        <w:t>tenham, em qualquer dos seus campos, rasuras, borrões, caracteres ilegíveis ou data anterior ou posterior ao prazo de aplicação dos recursos, ou ainda, notas fiscais com prazo de validade vencido.</w:t>
      </w:r>
    </w:p>
    <w:p w14:paraId="0000001C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É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vedado:</w:t>
      </w:r>
    </w:p>
    <w:p w14:paraId="0000001D" w14:textId="77777777" w:rsidR="0032283F" w:rsidRDefault="00360C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Executar despesas em data anterior ou posterior à vigência do benefício. Despesas realizadas fora do prazo de aplicação dos recursos serão glosadas na forma da legislação vigente.</w:t>
      </w:r>
    </w:p>
    <w:p w14:paraId="0000001E" w14:textId="77777777" w:rsidR="0032283F" w:rsidRDefault="00360C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Efetuar pagamento a si próprio ou a familiares de até segundo grau.  </w:t>
      </w:r>
    </w:p>
    <w:p w14:paraId="0000001F" w14:textId="77777777" w:rsidR="0032283F" w:rsidRDefault="00360C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Efetua</w:t>
      </w:r>
      <w:r>
        <w:rPr>
          <w:rFonts w:ascii="Times New Roman" w:eastAsia="Times New Roman" w:hAnsi="Times New Roman" w:cs="Times New Roman"/>
          <w:sz w:val="24"/>
          <w:szCs w:val="24"/>
        </w:rPr>
        <w:t>r o pagamento de taxa de administração, gerência ou serviço equivalente, a fundações e similares, exceto quando para realização de importações por instituições que estejam credenciadas por agências governamentais de pesquisa.</w:t>
      </w:r>
    </w:p>
    <w:p w14:paraId="00000020" w14:textId="77777777" w:rsidR="0032283F" w:rsidRDefault="00360C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Efetuar pagamento, a qualquer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título, inclusive diárias e passagens, a servidor ou empregado público, integrante de quadro de pessoal de órgão ou entidade pública da Administração direta ou indireta, por prestação de serviços, consultoria ou assistência técnica; </w:t>
      </w:r>
    </w:p>
    <w:p w14:paraId="00000021" w14:textId="77777777" w:rsidR="0032283F" w:rsidRDefault="00360C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Realizar despesas com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taxas bancárias, multas, juros ou correção monetária, inclusive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as referentes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pagamentos ou recolhimentos efetuados fora dos prazos estabelecidos; </w:t>
      </w:r>
    </w:p>
    <w:p w14:paraId="00000022" w14:textId="77777777" w:rsidR="0032283F" w:rsidRDefault="0032283F">
      <w:pPr>
        <w:pStyle w:val="Ttulo2"/>
        <w:keepNext w:val="0"/>
        <w:keepLines w:val="0"/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3" w14:textId="77777777" w:rsidR="0032283F" w:rsidRDefault="00360C17">
      <w:pPr>
        <w:pStyle w:val="Ttulo2"/>
        <w:keepNext w:val="0"/>
        <w:keepLines w:val="0"/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 CLASSIFICAÇÃO DAS DESPESAS</w:t>
      </w:r>
    </w:p>
    <w:p w14:paraId="00000024" w14:textId="77777777" w:rsidR="0032283F" w:rsidRDefault="003228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5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4.1 Despesas de Custeio - </w:t>
      </w:r>
      <w:r>
        <w:rPr>
          <w:rFonts w:ascii="Times New Roman" w:eastAsia="Times New Roman" w:hAnsi="Times New Roman" w:cs="Times New Roman"/>
          <w:sz w:val="24"/>
          <w:szCs w:val="24"/>
        </w:rPr>
        <w:t>são aquelas despesas relativas à aquisição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material de consumo, pagamento de diárias, passagens e de serviços prestados por pessoa física ou jurídica,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por exemplo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26" w14:textId="77777777" w:rsidR="0032283F" w:rsidRDefault="00360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Outros Serviços de Terceiros / Pessoa Física - prestação de serviços por pessoal técnico ligado diretamente aos resultados pretendidos na </w:t>
      </w:r>
      <w:r>
        <w:rPr>
          <w:rFonts w:ascii="Times New Roman" w:eastAsia="Times New Roman" w:hAnsi="Times New Roman" w:cs="Times New Roman"/>
          <w:sz w:val="24"/>
          <w:szCs w:val="24"/>
        </w:rPr>
        <w:t>ação de extensão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que, por sua natureza, só possam ser executados por pessoas físicas;</w:t>
      </w:r>
    </w:p>
    <w:p w14:paraId="00000027" w14:textId="77777777" w:rsidR="0032283F" w:rsidRDefault="00360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Outros Serviços de Terceiros / Pessoa Jurídica - instalação, adaptação, reparos e conservação de máquinas e equipamentos vinculados </w:t>
      </w:r>
      <w:r>
        <w:rPr>
          <w:rFonts w:ascii="Times New Roman" w:eastAsia="Times New Roman" w:hAnsi="Times New Roman" w:cs="Times New Roman"/>
          <w:sz w:val="24"/>
          <w:szCs w:val="24"/>
        </w:rPr>
        <w:t>à ação de extensão</w:t>
      </w:r>
      <w:r>
        <w:rPr>
          <w:rFonts w:ascii="Times New Roman" w:eastAsia="Times New Roman" w:hAnsi="Times New Roman" w:cs="Times New Roman"/>
          <w:sz w:val="24"/>
          <w:szCs w:val="24"/>
        </w:rPr>
        <w:t>, reprografia, impressos e serviços gráficos, passagens, seguro saúde, aluguéis para eventos, assinatura d</w:t>
      </w:r>
      <w:r>
        <w:rPr>
          <w:rFonts w:ascii="Times New Roman" w:eastAsia="Times New Roman" w:hAnsi="Times New Roman" w:cs="Times New Roman"/>
          <w:sz w:val="24"/>
          <w:szCs w:val="24"/>
        </w:rPr>
        <w:t>e revistas e periódicos, exposições, participação em conferências e congressos, software e outros;</w:t>
      </w:r>
    </w:p>
    <w:p w14:paraId="00000028" w14:textId="77777777" w:rsidR="0032283F" w:rsidRDefault="00360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Diárias;</w:t>
      </w:r>
    </w:p>
    <w:p w14:paraId="00000029" w14:textId="77777777" w:rsidR="0032283F" w:rsidRDefault="00360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Passagens;</w:t>
      </w:r>
    </w:p>
    <w:p w14:paraId="0000002A" w14:textId="77777777" w:rsidR="0032283F" w:rsidRDefault="00360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Material de Consumo - material de uso em laboratórios, material de desenho e de expediente, combustível e lubrificante, embalagens, mater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fotográfico, de filmagens e gravações, produtos químicos, biológicos, farmacêuticos e odontológicos em geral, material de impressão, vidrarias de laboratório, peças para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upgrades </w:t>
      </w:r>
      <w:r>
        <w:rPr>
          <w:rFonts w:ascii="Times New Roman" w:eastAsia="Times New Roman" w:hAnsi="Times New Roman" w:cs="Times New Roman"/>
          <w:sz w:val="24"/>
          <w:szCs w:val="24"/>
        </w:rPr>
        <w:t>de computadores e outros.</w:t>
      </w:r>
    </w:p>
    <w:p w14:paraId="0000002B" w14:textId="77777777" w:rsidR="0032283F" w:rsidRDefault="0032283F">
      <w:pPr>
        <w:pStyle w:val="Ttulo2"/>
        <w:keepNext w:val="0"/>
        <w:keepLines w:val="0"/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C" w14:textId="77777777" w:rsidR="0032283F" w:rsidRDefault="00360C17">
      <w:pPr>
        <w:pStyle w:val="Ttulo2"/>
        <w:keepNext w:val="0"/>
        <w:keepLines w:val="0"/>
        <w:spacing w:before="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DOS BENS/INSUMOS ADQUIRIDOS COM RECURSOS 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APOIO FINANCEIRO</w:t>
      </w:r>
    </w:p>
    <w:p w14:paraId="0000002D" w14:textId="77777777" w:rsidR="0032283F" w:rsidRDefault="0032283F"/>
    <w:p w14:paraId="0000002E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5.1 </w:t>
      </w:r>
      <w:r>
        <w:rPr>
          <w:rFonts w:ascii="Times New Roman" w:eastAsia="Times New Roman" w:hAnsi="Times New Roman" w:cs="Times New Roman"/>
          <w:sz w:val="24"/>
          <w:szCs w:val="24"/>
        </w:rPr>
        <w:t>A utilização do bem/insumo adquirido com o apoio financeiro sem a observância das normas de concessão e demais disposições contidas neste Manual configurará inadimplemento, impedindo o BENEFICIÁRIO de obter novo apoio financeiro do I</w:t>
      </w:r>
      <w:r>
        <w:rPr>
          <w:rFonts w:ascii="Times New Roman" w:eastAsia="Times New Roman" w:hAnsi="Times New Roman" w:cs="Times New Roman"/>
          <w:sz w:val="24"/>
          <w:szCs w:val="24"/>
        </w:rPr>
        <w:t>FG, enquanto perdurar a irregularidade, independente das cominações legais.</w:t>
      </w:r>
    </w:p>
    <w:p w14:paraId="0000002F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5.2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BENEFICIÁRIO que der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ao bem/insumo destinação diversa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daquela aprovada, fica sujeito à devolução do mesmo ou do valor correspondente, ao IFG, atualizado monetariamente, acres</w:t>
      </w:r>
      <w:r>
        <w:rPr>
          <w:rFonts w:ascii="Times New Roman" w:eastAsia="Times New Roman" w:hAnsi="Times New Roman" w:cs="Times New Roman"/>
          <w:sz w:val="24"/>
          <w:szCs w:val="24"/>
        </w:rPr>
        <w:t>cido de juros legais, na forma da legislação aplicável aos débitos para com a Fazenda Nacional.</w:t>
      </w:r>
    </w:p>
    <w:p w14:paraId="00000030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5.3 </w:t>
      </w:r>
      <w:r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 qualquer redistribuição que se pretenda dar ao bem/ins</w:t>
      </w:r>
      <w:r>
        <w:rPr>
          <w:rFonts w:ascii="Times New Roman" w:eastAsia="Times New Roman" w:hAnsi="Times New Roman" w:cs="Times New Roman"/>
          <w:sz w:val="24"/>
          <w:szCs w:val="24"/>
        </w:rPr>
        <w:t>umo</w:t>
      </w:r>
      <w:r>
        <w:rPr>
          <w:rFonts w:ascii="Times New Roman" w:eastAsia="Times New Roman" w:hAnsi="Times New Roman" w:cs="Times New Roman"/>
          <w:sz w:val="24"/>
          <w:szCs w:val="24"/>
        </w:rPr>
        <w:t>, nas hipóteses de conclusão antecipada, interrupção da ação de extensão ou utilização impre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vista, deverá ser comunicada formalmente, pelo BENEFICIÁRIO ao IFG. </w:t>
      </w:r>
    </w:p>
    <w:p w14:paraId="00000031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5.4 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caso de roubo, furto ou outro sinistro envolvendo o bem/insumo, o BENEFICIÁRIO e/ou servidores envolvidos, após a adoção das medidas cabíveis, deverá comunicar, imediata e formalme</w:t>
      </w:r>
      <w:r>
        <w:rPr>
          <w:rFonts w:ascii="Times New Roman" w:eastAsia="Times New Roman" w:hAnsi="Times New Roman" w:cs="Times New Roman"/>
          <w:sz w:val="24"/>
          <w:szCs w:val="24"/>
        </w:rPr>
        <w:t>nte, o fato ao IFG, juntamente com a justificativa e a prova de suas causas, anexando cópia autenticada da Ocorrência Policial, se for o caso.</w:t>
      </w:r>
    </w:p>
    <w:p w14:paraId="00000032" w14:textId="77777777" w:rsidR="0032283F" w:rsidRDefault="0032283F">
      <w:pPr>
        <w:pStyle w:val="Ttulo2"/>
        <w:keepNext w:val="0"/>
        <w:keepLines w:val="0"/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3" w14:textId="77777777" w:rsidR="0032283F" w:rsidRDefault="00360C17">
      <w:pPr>
        <w:pStyle w:val="Ttulo2"/>
        <w:keepNext w:val="0"/>
        <w:keepLines w:val="0"/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DA EXECUÇÃO DA PRESTAÇÃO DE CONTAS</w:t>
      </w:r>
    </w:p>
    <w:p w14:paraId="00000034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sz w:val="24"/>
          <w:szCs w:val="24"/>
        </w:rPr>
        <w:t>A prestação de contas deverá ser executada de acordo com as normas específicas aplicadas à administração pública;</w:t>
      </w:r>
    </w:p>
    <w:p w14:paraId="00000035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.1.1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Para fazer a prestação de contas, o/a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BENEFICIÁRIO(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A) deverá adotar procedimentos convenientes à administração pública, com organização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cronológica das aquisições, levantamento de preços correspondentes e os comprovantes de quitação. </w:t>
      </w:r>
    </w:p>
    <w:p w14:paraId="00000036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.1.2 </w:t>
      </w:r>
      <w:r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fins de prestação de contas, o BENEFICIÁRIO de apoio financeiro concedido pelo IFG, deverá </w:t>
      </w:r>
      <w:r>
        <w:rPr>
          <w:rFonts w:ascii="Times New Roman" w:eastAsia="Times New Roman" w:hAnsi="Times New Roman" w:cs="Times New Roman"/>
          <w:sz w:val="24"/>
          <w:szCs w:val="24"/>
        </w:rPr>
        <w:t>preencher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formulários correspondentes, assiná-los,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rganizar as notas fiscais e recibos de acordo com a "Relação de Pagamentos", anexar </w:t>
      </w:r>
      <w:r>
        <w:rPr>
          <w:rFonts w:ascii="Times New Roman" w:eastAsia="Times New Roman" w:hAnsi="Times New Roman" w:cs="Times New Roman"/>
          <w:sz w:val="24"/>
          <w:szCs w:val="24"/>
        </w:rPr>
        <w:t>os comprovantes de pagamento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bem como o comprovante de recolhimento de saldo (Guia de Recolhimento - quitada), se houver. </w:t>
      </w:r>
    </w:p>
    <w:p w14:paraId="00000037" w14:textId="77777777" w:rsidR="0032283F" w:rsidRDefault="003228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8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DAS DISPOSIÇÕES FINAIS</w:t>
      </w:r>
    </w:p>
    <w:p w14:paraId="00000039" w14:textId="77777777" w:rsidR="0032283F" w:rsidRDefault="003228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documentos constantes das prestações de contas do auxílio deverão ser organizados pelo BENEFICIÁRIO em boa ordem e mantidos em arquivo pela GEPEX, à disposição dos órgãos de controle interno e externo, pelo prazo de 5 (cinco) anos, contado da aprovação </w:t>
      </w:r>
      <w:r>
        <w:rPr>
          <w:rFonts w:ascii="Times New Roman" w:eastAsia="Times New Roman" w:hAnsi="Times New Roman" w:cs="Times New Roman"/>
          <w:sz w:val="24"/>
          <w:szCs w:val="24"/>
        </w:rPr>
        <w:t>da prestação de contas.</w:t>
      </w:r>
    </w:p>
    <w:p w14:paraId="0000003B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sz w:val="24"/>
          <w:szCs w:val="24"/>
        </w:rPr>
        <w:t>Considerar-se-á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em situação de inadimplência, o BENEFICIÁRIO que:</w:t>
      </w:r>
    </w:p>
    <w:p w14:paraId="0000003C" w14:textId="77777777" w:rsidR="0032283F" w:rsidRDefault="00360C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Não apresentar o relatório técnico e/ou a prestação de contas, final ou parcial, dos recursos recebidos, nos prazos estipulados;</w:t>
      </w:r>
    </w:p>
    <w:p w14:paraId="0000003D" w14:textId="77777777" w:rsidR="0032283F" w:rsidRDefault="00360C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Não tiver o seu relatório técnico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e/ou a sua prestação de contas financeira aprovada pelo IFG; ou</w:t>
      </w:r>
    </w:p>
    <w:p w14:paraId="0000003E" w14:textId="77777777" w:rsidR="0032283F" w:rsidRDefault="00360C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Tiver despesa glosada e não ressarcida, devidamente corrigida conforme legislação aplicável.</w:t>
      </w:r>
    </w:p>
    <w:p w14:paraId="0000003F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.2.1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IFG procederá à instauração de Tomada de Contas Especial e à inscrição do BENEFICIÁRIO no </w:t>
      </w:r>
      <w:r>
        <w:rPr>
          <w:rFonts w:ascii="Times New Roman" w:eastAsia="Times New Roman" w:hAnsi="Times New Roman" w:cs="Times New Roman"/>
          <w:sz w:val="24"/>
          <w:szCs w:val="24"/>
        </w:rPr>
        <w:t>"Cadastro Informativo de Créditos Não Quitados do Setor Público Federal - CADIN ", quando comprovada a má aplicação dos recursos.</w:t>
      </w:r>
    </w:p>
    <w:p w14:paraId="00000040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.3 - </w:t>
      </w:r>
      <w:r>
        <w:rPr>
          <w:rFonts w:ascii="Times New Roman" w:eastAsia="Times New Roman" w:hAnsi="Times New Roman" w:cs="Times New Roman"/>
          <w:sz w:val="24"/>
          <w:szCs w:val="24"/>
        </w:rPr>
        <w:t>A substituição do BENEFICIÁRIO só pode ser efetivada com a prévia concordância do IFG. Quando isso ocorrer, o primeiro s</w:t>
      </w:r>
      <w:r>
        <w:rPr>
          <w:rFonts w:ascii="Times New Roman" w:eastAsia="Times New Roman" w:hAnsi="Times New Roman" w:cs="Times New Roman"/>
          <w:sz w:val="24"/>
          <w:szCs w:val="24"/>
        </w:rPr>
        <w:t>erá obrigado a apresentar a prestação de contas referente ao período de sua gestão, cabendo ao seu substituto, com a abertura de novo processo e Termo de Concessão, a prestação de contas final.</w:t>
      </w:r>
    </w:p>
    <w:p w14:paraId="00000041" w14:textId="77777777" w:rsidR="0032283F" w:rsidRDefault="00360C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.4 - </w:t>
      </w:r>
      <w:r>
        <w:rPr>
          <w:rFonts w:ascii="Times New Roman" w:eastAsia="Times New Roman" w:hAnsi="Times New Roman" w:cs="Times New Roman"/>
          <w:sz w:val="24"/>
          <w:szCs w:val="24"/>
        </w:rPr>
        <w:t>É reservado ao IFG o direito de acompanhar e avaliar a e</w:t>
      </w:r>
      <w:r>
        <w:rPr>
          <w:rFonts w:ascii="Times New Roman" w:eastAsia="Times New Roman" w:hAnsi="Times New Roman" w:cs="Times New Roman"/>
          <w:sz w:val="24"/>
          <w:szCs w:val="24"/>
        </w:rPr>
        <w:t>xecução da ação de extensão, fiscalizar in loco a utilização dos recursos e solicitar outras informações, até 5 (cinco) anos contados da data de aprovação da prestação de contas do auxílio.</w:t>
      </w:r>
    </w:p>
    <w:p w14:paraId="00000042" w14:textId="77777777" w:rsidR="0032283F" w:rsidRDefault="0032283F">
      <w:pPr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sectPr w:rsidR="0032283F" w:rsidSect="00CD2F93">
      <w:headerReference w:type="default" r:id="rId7"/>
      <w:pgSz w:w="11909" w:h="16834"/>
      <w:pgMar w:top="1440" w:right="1136" w:bottom="1440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7277B" w14:textId="77777777" w:rsidR="00360C17" w:rsidRDefault="00360C17">
      <w:pPr>
        <w:spacing w:line="240" w:lineRule="auto"/>
      </w:pPr>
      <w:r>
        <w:separator/>
      </w:r>
    </w:p>
  </w:endnote>
  <w:endnote w:type="continuationSeparator" w:id="0">
    <w:p w14:paraId="78E45A69" w14:textId="77777777" w:rsidR="00360C17" w:rsidRDefault="00360C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5519B" w14:textId="77777777" w:rsidR="00360C17" w:rsidRDefault="00360C17">
      <w:pPr>
        <w:spacing w:line="240" w:lineRule="auto"/>
      </w:pPr>
      <w:r>
        <w:separator/>
      </w:r>
    </w:p>
  </w:footnote>
  <w:footnote w:type="continuationSeparator" w:id="0">
    <w:p w14:paraId="1C9FCE34" w14:textId="77777777" w:rsidR="00360C17" w:rsidRDefault="00360C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3" w14:textId="77777777" w:rsidR="0032283F" w:rsidRDefault="00360C17">
    <w:pPr>
      <w:pBdr>
        <w:top w:val="nil"/>
        <w:left w:val="nil"/>
        <w:bottom w:val="nil"/>
        <w:right w:val="nil"/>
        <w:between w:val="nil"/>
      </w:pBdr>
      <w:spacing w:before="120" w:line="240" w:lineRule="auto"/>
      <w:rPr>
        <w:rFonts w:ascii="Arial Narrow" w:eastAsia="Arial Narrow" w:hAnsi="Arial Narrow" w:cs="Arial Narrow"/>
        <w:b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color w:val="000000"/>
        <w:sz w:val="16"/>
        <w:szCs w:val="16"/>
      </w:rPr>
      <w:tab/>
    </w:r>
  </w:p>
  <w:p w14:paraId="00000044" w14:textId="77777777" w:rsidR="0032283F" w:rsidRDefault="00360C17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MINISTÉRIO DA EDUCAÇÃO</w:t>
    </w:r>
  </w:p>
  <w:p w14:paraId="00000045" w14:textId="77777777" w:rsidR="0032283F" w:rsidRDefault="00360C17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SECRETARIA DE EDUCAÇÃO PROFISSIONAL E TECNOLÓGICA</w:t>
    </w:r>
  </w:p>
  <w:p w14:paraId="00000046" w14:textId="77777777" w:rsidR="0032283F" w:rsidRDefault="00360C17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INSTITUTO FEDERAL DE EDUCAÇÃO, CIÊNCIA E TECNOLOGIA DE GOIÁS</w:t>
    </w:r>
  </w:p>
  <w:p w14:paraId="00000047" w14:textId="77777777" w:rsidR="0032283F" w:rsidRDefault="00360C17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PRÓ-REITORIA DE EXTENSÃO</w:t>
    </w:r>
  </w:p>
  <w:p w14:paraId="00000048" w14:textId="77777777" w:rsidR="0032283F" w:rsidRDefault="0032283F">
    <w:pPr>
      <w:pBdr>
        <w:top w:val="nil"/>
        <w:left w:val="nil"/>
        <w:bottom w:val="nil"/>
        <w:right w:val="nil"/>
        <w:between w:val="nil"/>
      </w:pBdr>
      <w:tabs>
        <w:tab w:val="left" w:pos="3980"/>
      </w:tabs>
      <w:spacing w:line="240" w:lineRule="auto"/>
    </w:pPr>
  </w:p>
  <w:p w14:paraId="00000049" w14:textId="77777777" w:rsidR="0032283F" w:rsidRDefault="0032283F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  <w:p w14:paraId="0000004A" w14:textId="77777777" w:rsidR="0032283F" w:rsidRDefault="0032283F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26CEE"/>
    <w:multiLevelType w:val="multilevel"/>
    <w:tmpl w:val="5BFC35A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4BDE3A35"/>
    <w:multiLevelType w:val="multilevel"/>
    <w:tmpl w:val="A2B6BE5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50E07026"/>
    <w:multiLevelType w:val="multilevel"/>
    <w:tmpl w:val="5A7CA5F2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6BD812D9"/>
    <w:multiLevelType w:val="multilevel"/>
    <w:tmpl w:val="7B8E988A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3F"/>
    <w:rsid w:val="0032283F"/>
    <w:rsid w:val="00360C17"/>
    <w:rsid w:val="00C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AC7E"/>
  <w15:docId w15:val="{36E24032-61A2-4162-93A4-29A41801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1482</Words>
  <Characters>8003</Characters>
  <Application>Microsoft Office Word</Application>
  <DocSecurity>0</DocSecurity>
  <Lines>66</Lines>
  <Paragraphs>18</Paragraphs>
  <ScaleCrop>false</ScaleCrop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vinicius</cp:lastModifiedBy>
  <cp:revision>2</cp:revision>
  <dcterms:created xsi:type="dcterms:W3CDTF">2021-08-11T19:20:00Z</dcterms:created>
  <dcterms:modified xsi:type="dcterms:W3CDTF">2021-08-11T19:21:00Z</dcterms:modified>
</cp:coreProperties>
</file>